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2830"/>
        <w:gridCol w:w="2268"/>
        <w:gridCol w:w="1985"/>
        <w:gridCol w:w="2126"/>
      </w:tblGrid>
      <w:tr w:rsidR="00FB75C9" w:rsidTr="009E2D95">
        <w:tc>
          <w:tcPr>
            <w:tcW w:w="9209" w:type="dxa"/>
            <w:gridSpan w:val="4"/>
          </w:tcPr>
          <w:p w:rsidR="00CA2B52" w:rsidRDefault="00FB75C9" w:rsidP="00CB00F3">
            <w:pPr>
              <w:rPr>
                <w:b/>
                <w:sz w:val="20"/>
                <w:szCs w:val="20"/>
              </w:rPr>
            </w:pPr>
            <w:r w:rsidRPr="00B25405">
              <w:rPr>
                <w:b/>
                <w:sz w:val="20"/>
                <w:szCs w:val="20"/>
              </w:rPr>
              <w:t xml:space="preserve">Continuing Statutory Service  (Proposed Base Budget Reduction </w:t>
            </w:r>
            <w:r w:rsidR="009C4647" w:rsidRPr="00B25405">
              <w:rPr>
                <w:b/>
                <w:sz w:val="20"/>
                <w:szCs w:val="20"/>
              </w:rPr>
              <w:t>T</w:t>
            </w:r>
            <w:r w:rsidRPr="00B25405">
              <w:rPr>
                <w:b/>
                <w:sz w:val="20"/>
                <w:szCs w:val="20"/>
              </w:rPr>
              <w:t>argets)</w:t>
            </w:r>
            <w:r w:rsidR="00B819B1">
              <w:rPr>
                <w:b/>
                <w:sz w:val="20"/>
                <w:szCs w:val="20"/>
              </w:rPr>
              <w:t xml:space="preserve"> – Template 2</w:t>
            </w:r>
          </w:p>
          <w:p w:rsidR="00CB00F3" w:rsidRPr="00B25405" w:rsidRDefault="001B36BE" w:rsidP="00CB00F3">
            <w:pPr>
              <w:rPr>
                <w:b/>
                <w:sz w:val="20"/>
                <w:szCs w:val="20"/>
              </w:rPr>
            </w:pPr>
            <w:r>
              <w:rPr>
                <w:b/>
                <w:sz w:val="20"/>
                <w:szCs w:val="20"/>
              </w:rPr>
              <w:t>BOP 016</w:t>
            </w:r>
          </w:p>
        </w:tc>
      </w:tr>
      <w:tr w:rsidR="00FB75C9" w:rsidTr="005B7C5A">
        <w:tc>
          <w:tcPr>
            <w:tcW w:w="2830" w:type="dxa"/>
            <w:tcBorders>
              <w:bottom w:val="single" w:sz="4" w:space="0" w:color="auto"/>
            </w:tcBorders>
          </w:tcPr>
          <w:p w:rsidR="006D68F4" w:rsidRDefault="006D68F4" w:rsidP="004972D5">
            <w:pPr>
              <w:rPr>
                <w:sz w:val="20"/>
                <w:szCs w:val="20"/>
              </w:rPr>
            </w:pPr>
            <w:r w:rsidRPr="00B25405">
              <w:rPr>
                <w:sz w:val="20"/>
                <w:szCs w:val="20"/>
              </w:rPr>
              <w:t>Service name</w:t>
            </w:r>
          </w:p>
          <w:p w:rsidR="00994EDB" w:rsidRDefault="00F57547" w:rsidP="006D68F4">
            <w:pPr>
              <w:rPr>
                <w:sz w:val="20"/>
                <w:szCs w:val="20"/>
              </w:rPr>
            </w:pPr>
            <w:r>
              <w:rPr>
                <w:sz w:val="20"/>
                <w:szCs w:val="20"/>
              </w:rPr>
              <w:t>CORE BUSINESS SYSTEMS</w:t>
            </w:r>
            <w:r w:rsidR="006D68F4">
              <w:rPr>
                <w:sz w:val="20"/>
                <w:szCs w:val="20"/>
              </w:rPr>
              <w:t>/ TRANSFORMATION (NON BTLS)</w:t>
            </w:r>
          </w:p>
          <w:p w:rsidR="005D5236" w:rsidRPr="00B25405" w:rsidRDefault="005D5236" w:rsidP="006D68F4">
            <w:pPr>
              <w:rPr>
                <w:sz w:val="20"/>
                <w:szCs w:val="20"/>
              </w:rPr>
            </w:pPr>
            <w:r>
              <w:rPr>
                <w:sz w:val="20"/>
                <w:szCs w:val="20"/>
              </w:rPr>
              <w:t>(BBR 046)</w:t>
            </w:r>
          </w:p>
        </w:tc>
        <w:tc>
          <w:tcPr>
            <w:tcW w:w="6379" w:type="dxa"/>
            <w:gridSpan w:val="3"/>
            <w:tcBorders>
              <w:bottom w:val="single" w:sz="4" w:space="0" w:color="auto"/>
            </w:tcBorders>
          </w:tcPr>
          <w:p w:rsidR="00FB26CF" w:rsidRDefault="006D68F4" w:rsidP="005B7C5A">
            <w:pPr>
              <w:rPr>
                <w:sz w:val="20"/>
                <w:szCs w:val="20"/>
              </w:rPr>
            </w:pPr>
            <w:r>
              <w:rPr>
                <w:sz w:val="20"/>
                <w:szCs w:val="20"/>
              </w:rPr>
              <w:t xml:space="preserve">Service description - please see </w:t>
            </w:r>
            <w:r w:rsidR="00806548">
              <w:rPr>
                <w:sz w:val="20"/>
                <w:szCs w:val="20"/>
              </w:rPr>
              <w:t>below</w:t>
            </w:r>
          </w:p>
          <w:p w:rsidR="005B7C5A" w:rsidRDefault="005B7C5A" w:rsidP="005B7C5A">
            <w:pPr>
              <w:rPr>
                <w:sz w:val="20"/>
                <w:szCs w:val="20"/>
              </w:rPr>
            </w:pPr>
          </w:p>
          <w:p w:rsidR="00CB00F3" w:rsidRPr="00FB26CF" w:rsidRDefault="00CB00F3" w:rsidP="00145014">
            <w:pPr>
              <w:rPr>
                <w:sz w:val="20"/>
                <w:szCs w:val="20"/>
              </w:rPr>
            </w:pPr>
          </w:p>
        </w:tc>
      </w:tr>
      <w:tr w:rsidR="00FB75C9" w:rsidTr="005B7C5A">
        <w:tc>
          <w:tcPr>
            <w:tcW w:w="2830" w:type="dxa"/>
            <w:tcBorders>
              <w:bottom w:val="nil"/>
            </w:tcBorders>
          </w:tcPr>
          <w:p w:rsidR="00FB75C9" w:rsidRPr="00B25405" w:rsidRDefault="00FB75C9" w:rsidP="004972D5">
            <w:pPr>
              <w:rPr>
                <w:sz w:val="20"/>
                <w:szCs w:val="20"/>
              </w:rPr>
            </w:pPr>
          </w:p>
        </w:tc>
        <w:tc>
          <w:tcPr>
            <w:tcW w:w="2268" w:type="dxa"/>
            <w:tcBorders>
              <w:bottom w:val="nil"/>
            </w:tcBorders>
          </w:tcPr>
          <w:p w:rsidR="00FB75C9" w:rsidRPr="00084304" w:rsidRDefault="00FB75C9" w:rsidP="00084304">
            <w:pPr>
              <w:jc w:val="center"/>
              <w:rPr>
                <w:b/>
                <w:sz w:val="20"/>
                <w:szCs w:val="20"/>
              </w:rPr>
            </w:pPr>
            <w:r w:rsidRPr="00084304">
              <w:rPr>
                <w:b/>
                <w:sz w:val="20"/>
                <w:szCs w:val="20"/>
              </w:rPr>
              <w:t>2015/16</w:t>
            </w:r>
          </w:p>
        </w:tc>
        <w:tc>
          <w:tcPr>
            <w:tcW w:w="1985" w:type="dxa"/>
            <w:tcBorders>
              <w:bottom w:val="nil"/>
            </w:tcBorders>
          </w:tcPr>
          <w:p w:rsidR="00FB75C9" w:rsidRPr="00084304" w:rsidRDefault="00FB75C9" w:rsidP="00084304">
            <w:pPr>
              <w:jc w:val="center"/>
              <w:rPr>
                <w:b/>
                <w:sz w:val="20"/>
                <w:szCs w:val="20"/>
              </w:rPr>
            </w:pPr>
            <w:r w:rsidRPr="00084304">
              <w:rPr>
                <w:b/>
                <w:sz w:val="20"/>
                <w:szCs w:val="20"/>
              </w:rPr>
              <w:t>2016/17</w:t>
            </w:r>
          </w:p>
        </w:tc>
        <w:tc>
          <w:tcPr>
            <w:tcW w:w="2126" w:type="dxa"/>
            <w:tcBorders>
              <w:bottom w:val="nil"/>
            </w:tcBorders>
          </w:tcPr>
          <w:p w:rsidR="00FB75C9" w:rsidRPr="00084304" w:rsidRDefault="00FB75C9" w:rsidP="00084304">
            <w:pPr>
              <w:jc w:val="center"/>
              <w:rPr>
                <w:b/>
                <w:sz w:val="20"/>
                <w:szCs w:val="20"/>
              </w:rPr>
            </w:pPr>
            <w:r w:rsidRPr="00084304">
              <w:rPr>
                <w:b/>
                <w:sz w:val="20"/>
                <w:szCs w:val="20"/>
              </w:rPr>
              <w:t>2017/18</w:t>
            </w:r>
          </w:p>
        </w:tc>
      </w:tr>
      <w:tr w:rsidR="00084304" w:rsidTr="005B7C5A">
        <w:tc>
          <w:tcPr>
            <w:tcW w:w="2830" w:type="dxa"/>
            <w:tcBorders>
              <w:top w:val="nil"/>
              <w:bottom w:val="single" w:sz="4" w:space="0" w:color="auto"/>
            </w:tcBorders>
          </w:tcPr>
          <w:p w:rsidR="00084304" w:rsidRPr="00B25405" w:rsidRDefault="00084304" w:rsidP="004972D5">
            <w:pPr>
              <w:rPr>
                <w:sz w:val="20"/>
                <w:szCs w:val="20"/>
              </w:rPr>
            </w:pPr>
          </w:p>
        </w:tc>
        <w:tc>
          <w:tcPr>
            <w:tcW w:w="2268"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1985"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2126"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r>
      <w:tr w:rsidR="00AA78B2" w:rsidTr="005B7C5A">
        <w:tc>
          <w:tcPr>
            <w:tcW w:w="2830" w:type="dxa"/>
            <w:tcBorders>
              <w:top w:val="nil"/>
              <w:bottom w:val="single" w:sz="4" w:space="0" w:color="auto"/>
            </w:tcBorders>
          </w:tcPr>
          <w:p w:rsidR="00AA78B2" w:rsidRPr="004D588F" w:rsidRDefault="00AA78B2" w:rsidP="00AA78B2">
            <w:pPr>
              <w:rPr>
                <w:sz w:val="20"/>
                <w:szCs w:val="20"/>
              </w:rPr>
            </w:pPr>
            <w:r>
              <w:rPr>
                <w:sz w:val="20"/>
                <w:szCs w:val="20"/>
              </w:rPr>
              <w:t>Forecast before savings</w:t>
            </w:r>
          </w:p>
        </w:tc>
        <w:tc>
          <w:tcPr>
            <w:tcW w:w="2268" w:type="dxa"/>
            <w:tcBorders>
              <w:top w:val="nil"/>
              <w:bottom w:val="single" w:sz="4" w:space="0" w:color="auto"/>
            </w:tcBorders>
          </w:tcPr>
          <w:p w:rsidR="00AA78B2" w:rsidRPr="00F32F81" w:rsidRDefault="00AA78B2" w:rsidP="00AA78B2">
            <w:pPr>
              <w:jc w:val="right"/>
              <w:rPr>
                <w:sz w:val="20"/>
                <w:szCs w:val="20"/>
              </w:rPr>
            </w:pPr>
            <w:r w:rsidRPr="00FB7ABB">
              <w:rPr>
                <w:noProof/>
                <w:sz w:val="20"/>
                <w:szCs w:val="20"/>
              </w:rPr>
              <w:t>3.938</w:t>
            </w:r>
          </w:p>
        </w:tc>
        <w:tc>
          <w:tcPr>
            <w:tcW w:w="1985" w:type="dxa"/>
            <w:tcBorders>
              <w:top w:val="nil"/>
              <w:bottom w:val="single" w:sz="4" w:space="0" w:color="auto"/>
            </w:tcBorders>
          </w:tcPr>
          <w:p w:rsidR="00AA78B2" w:rsidRPr="00F32F81" w:rsidRDefault="00AA78B2" w:rsidP="00AA78B2">
            <w:pPr>
              <w:jc w:val="right"/>
              <w:rPr>
                <w:sz w:val="20"/>
                <w:szCs w:val="20"/>
              </w:rPr>
            </w:pPr>
            <w:r w:rsidRPr="00FB7ABB">
              <w:rPr>
                <w:noProof/>
                <w:sz w:val="20"/>
                <w:szCs w:val="20"/>
              </w:rPr>
              <w:t>4.217</w:t>
            </w:r>
          </w:p>
        </w:tc>
        <w:tc>
          <w:tcPr>
            <w:tcW w:w="2126" w:type="dxa"/>
            <w:tcBorders>
              <w:top w:val="nil"/>
              <w:bottom w:val="single" w:sz="4" w:space="0" w:color="auto"/>
            </w:tcBorders>
          </w:tcPr>
          <w:p w:rsidR="00AA78B2" w:rsidRPr="00F32F81" w:rsidRDefault="00AA78B2" w:rsidP="00AA78B2">
            <w:pPr>
              <w:jc w:val="right"/>
              <w:rPr>
                <w:sz w:val="20"/>
                <w:szCs w:val="20"/>
              </w:rPr>
            </w:pPr>
            <w:r w:rsidRPr="00FB7ABB">
              <w:rPr>
                <w:noProof/>
                <w:sz w:val="20"/>
                <w:szCs w:val="20"/>
              </w:rPr>
              <w:t>4.310</w:t>
            </w:r>
          </w:p>
        </w:tc>
      </w:tr>
      <w:tr w:rsidR="00AA78B2" w:rsidTr="005B7C5A">
        <w:tc>
          <w:tcPr>
            <w:tcW w:w="2830" w:type="dxa"/>
            <w:shd w:val="clear" w:color="auto" w:fill="auto"/>
          </w:tcPr>
          <w:p w:rsidR="00AA78B2" w:rsidRDefault="00AA78B2" w:rsidP="00AA78B2">
            <w:pPr>
              <w:rPr>
                <w:sz w:val="20"/>
                <w:szCs w:val="20"/>
              </w:rPr>
            </w:pPr>
            <w:r>
              <w:rPr>
                <w:sz w:val="20"/>
                <w:szCs w:val="20"/>
              </w:rPr>
              <w:t>Budgeted savings (cumulative)</w:t>
            </w:r>
          </w:p>
        </w:tc>
        <w:tc>
          <w:tcPr>
            <w:tcW w:w="2268" w:type="dxa"/>
            <w:shd w:val="clear" w:color="auto" w:fill="auto"/>
          </w:tcPr>
          <w:p w:rsidR="00AA78B2" w:rsidRPr="00F32F81" w:rsidRDefault="00AA78B2" w:rsidP="00AA78B2">
            <w:pPr>
              <w:jc w:val="right"/>
              <w:rPr>
                <w:sz w:val="20"/>
                <w:szCs w:val="20"/>
              </w:rPr>
            </w:pPr>
            <w:r w:rsidRPr="00FB7ABB">
              <w:rPr>
                <w:noProof/>
                <w:sz w:val="20"/>
                <w:szCs w:val="20"/>
              </w:rPr>
              <w:t>-0.309</w:t>
            </w:r>
          </w:p>
        </w:tc>
        <w:tc>
          <w:tcPr>
            <w:tcW w:w="1985" w:type="dxa"/>
            <w:shd w:val="clear" w:color="auto" w:fill="auto"/>
          </w:tcPr>
          <w:p w:rsidR="00AA78B2" w:rsidRPr="00F32F81" w:rsidRDefault="00AA78B2" w:rsidP="00AA78B2">
            <w:pPr>
              <w:jc w:val="right"/>
              <w:rPr>
                <w:sz w:val="20"/>
                <w:szCs w:val="20"/>
              </w:rPr>
            </w:pPr>
            <w:r w:rsidRPr="00FB7ABB">
              <w:rPr>
                <w:noProof/>
                <w:sz w:val="20"/>
                <w:szCs w:val="20"/>
              </w:rPr>
              <w:t>-0.726</w:t>
            </w:r>
          </w:p>
        </w:tc>
        <w:tc>
          <w:tcPr>
            <w:tcW w:w="2126" w:type="dxa"/>
            <w:shd w:val="clear" w:color="auto" w:fill="auto"/>
          </w:tcPr>
          <w:p w:rsidR="00AA78B2" w:rsidRPr="00F32F81" w:rsidRDefault="00AA78B2" w:rsidP="00AA78B2">
            <w:pPr>
              <w:jc w:val="right"/>
              <w:rPr>
                <w:sz w:val="20"/>
                <w:szCs w:val="20"/>
              </w:rPr>
            </w:pPr>
            <w:r w:rsidRPr="00FB7ABB">
              <w:rPr>
                <w:noProof/>
                <w:sz w:val="20"/>
                <w:szCs w:val="20"/>
              </w:rPr>
              <w:t>-0.827</w:t>
            </w:r>
          </w:p>
        </w:tc>
      </w:tr>
      <w:tr w:rsidR="00AA78B2" w:rsidTr="005B7C5A">
        <w:tc>
          <w:tcPr>
            <w:tcW w:w="2830" w:type="dxa"/>
          </w:tcPr>
          <w:p w:rsidR="00AA78B2" w:rsidRDefault="00AA78B2" w:rsidP="00AA78B2">
            <w:pPr>
              <w:rPr>
                <w:sz w:val="20"/>
                <w:szCs w:val="20"/>
              </w:rPr>
            </w:pPr>
            <w:r>
              <w:rPr>
                <w:sz w:val="20"/>
                <w:szCs w:val="20"/>
              </w:rPr>
              <w:t>Planned net expenditure</w:t>
            </w:r>
            <w:r w:rsidRPr="004D588F">
              <w:rPr>
                <w:sz w:val="20"/>
                <w:szCs w:val="20"/>
              </w:rPr>
              <w:t xml:space="preserve"> </w:t>
            </w:r>
          </w:p>
          <w:p w:rsidR="00AA78B2" w:rsidRDefault="00AA78B2" w:rsidP="00AA78B2">
            <w:pPr>
              <w:rPr>
                <w:sz w:val="20"/>
                <w:szCs w:val="20"/>
              </w:rPr>
            </w:pPr>
            <w:r w:rsidRPr="005B77F6">
              <w:rPr>
                <w:b/>
                <w:sz w:val="20"/>
                <w:szCs w:val="20"/>
              </w:rPr>
              <w:t>(Approved 2015 net budget)</w:t>
            </w:r>
          </w:p>
        </w:tc>
        <w:tc>
          <w:tcPr>
            <w:tcW w:w="2268" w:type="dxa"/>
            <w:tcBorders>
              <w:bottom w:val="single" w:sz="4" w:space="0" w:color="auto"/>
            </w:tcBorders>
          </w:tcPr>
          <w:p w:rsidR="00AA78B2" w:rsidRPr="00B25405" w:rsidRDefault="00AA78B2" w:rsidP="00AA78B2">
            <w:pPr>
              <w:jc w:val="right"/>
              <w:rPr>
                <w:sz w:val="20"/>
                <w:szCs w:val="20"/>
              </w:rPr>
            </w:pPr>
            <w:r w:rsidRPr="00FB7ABB">
              <w:rPr>
                <w:noProof/>
                <w:sz w:val="20"/>
                <w:szCs w:val="20"/>
              </w:rPr>
              <w:t>3.629</w:t>
            </w:r>
          </w:p>
        </w:tc>
        <w:tc>
          <w:tcPr>
            <w:tcW w:w="1985" w:type="dxa"/>
            <w:tcBorders>
              <w:bottom w:val="single" w:sz="4" w:space="0" w:color="auto"/>
            </w:tcBorders>
          </w:tcPr>
          <w:p w:rsidR="00AA78B2" w:rsidRPr="00B25405" w:rsidRDefault="00AA78B2" w:rsidP="00AA78B2">
            <w:pPr>
              <w:jc w:val="right"/>
              <w:rPr>
                <w:sz w:val="20"/>
                <w:szCs w:val="20"/>
              </w:rPr>
            </w:pPr>
            <w:r w:rsidRPr="00FB7ABB">
              <w:rPr>
                <w:noProof/>
                <w:sz w:val="20"/>
                <w:szCs w:val="20"/>
              </w:rPr>
              <w:t>3.491</w:t>
            </w:r>
          </w:p>
        </w:tc>
        <w:tc>
          <w:tcPr>
            <w:tcW w:w="2126" w:type="dxa"/>
            <w:tcBorders>
              <w:bottom w:val="single" w:sz="4" w:space="0" w:color="auto"/>
            </w:tcBorders>
          </w:tcPr>
          <w:p w:rsidR="00AA78B2" w:rsidRPr="00B25405" w:rsidRDefault="00AA78B2" w:rsidP="00AA78B2">
            <w:pPr>
              <w:jc w:val="right"/>
              <w:rPr>
                <w:sz w:val="20"/>
                <w:szCs w:val="20"/>
              </w:rPr>
            </w:pPr>
            <w:r w:rsidRPr="00FB7ABB">
              <w:rPr>
                <w:noProof/>
                <w:sz w:val="20"/>
                <w:szCs w:val="20"/>
              </w:rPr>
              <w:t>3.483</w:t>
            </w:r>
          </w:p>
        </w:tc>
      </w:tr>
      <w:tr w:rsidR="00AA78B2" w:rsidTr="005B7C5A">
        <w:tc>
          <w:tcPr>
            <w:tcW w:w="2830" w:type="dxa"/>
            <w:tcBorders>
              <w:right w:val="single" w:sz="4" w:space="0" w:color="auto"/>
            </w:tcBorders>
            <w:shd w:val="clear" w:color="auto" w:fill="D9D9D9" w:themeFill="background1" w:themeFillShade="D9"/>
          </w:tcPr>
          <w:p w:rsidR="00AA78B2" w:rsidRPr="001774BD" w:rsidRDefault="00AA78B2" w:rsidP="00AA78B2">
            <w:pP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8B2" w:rsidRPr="00B25405" w:rsidRDefault="00AA78B2" w:rsidP="00AA78B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8B2" w:rsidRPr="00B25405" w:rsidRDefault="00AA78B2" w:rsidP="00AA78B2">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78B2" w:rsidRPr="00B25405" w:rsidRDefault="00AA78B2" w:rsidP="00AA78B2">
            <w:pPr>
              <w:jc w:val="right"/>
              <w:rPr>
                <w:sz w:val="20"/>
                <w:szCs w:val="20"/>
              </w:rPr>
            </w:pPr>
          </w:p>
        </w:tc>
      </w:tr>
      <w:tr w:rsidR="00AA78B2" w:rsidTr="00213370">
        <w:tc>
          <w:tcPr>
            <w:tcW w:w="2830" w:type="dxa"/>
            <w:tcBorders>
              <w:right w:val="single" w:sz="4" w:space="0" w:color="auto"/>
            </w:tcBorders>
            <w:shd w:val="clear" w:color="auto" w:fill="auto"/>
          </w:tcPr>
          <w:p w:rsidR="00AA78B2" w:rsidRPr="00E43B74" w:rsidRDefault="00AA78B2" w:rsidP="00AA78B2">
            <w:pPr>
              <w:rPr>
                <w:sz w:val="20"/>
                <w:szCs w:val="20"/>
              </w:rPr>
            </w:pPr>
            <w:r w:rsidRPr="00E43B74">
              <w:rPr>
                <w:sz w:val="20"/>
                <w:szCs w:val="20"/>
              </w:rPr>
              <w:t>August 15 monitoring position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A78B2" w:rsidRPr="00B25405" w:rsidRDefault="00AA78B2" w:rsidP="00AA78B2">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A78B2" w:rsidRPr="00B25405" w:rsidRDefault="00AA78B2" w:rsidP="00AA78B2">
            <w:pPr>
              <w:jc w:val="right"/>
              <w:rPr>
                <w:sz w:val="20"/>
                <w:szCs w:val="20"/>
              </w:rPr>
            </w:pPr>
          </w:p>
        </w:tc>
      </w:tr>
      <w:tr w:rsidR="00AA78B2" w:rsidTr="005B7C5A">
        <w:tc>
          <w:tcPr>
            <w:tcW w:w="2830" w:type="dxa"/>
            <w:tcBorders>
              <w:right w:val="single" w:sz="4" w:space="0" w:color="auto"/>
            </w:tcBorders>
          </w:tcPr>
          <w:p w:rsidR="00AA78B2" w:rsidRPr="00EA1D7C" w:rsidRDefault="00AA78B2" w:rsidP="00AA78B2">
            <w:pPr>
              <w:rPr>
                <w:sz w:val="20"/>
                <w:szCs w:val="20"/>
              </w:rPr>
            </w:pPr>
            <w:r w:rsidRPr="00EA1D7C">
              <w:rPr>
                <w:sz w:val="20"/>
                <w:szCs w:val="20"/>
              </w:rPr>
              <w:t>Demand variations</w:t>
            </w:r>
            <w:r>
              <w:rPr>
                <w:sz w:val="20"/>
                <w:szCs w:val="20"/>
              </w:rPr>
              <w:t xml:space="preserve"> (cumulative)</w:t>
            </w:r>
          </w:p>
        </w:tc>
        <w:tc>
          <w:tcPr>
            <w:tcW w:w="2268"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0.000</w:t>
            </w:r>
          </w:p>
        </w:tc>
      </w:tr>
      <w:tr w:rsidR="00AA78B2" w:rsidTr="005B7C5A">
        <w:tc>
          <w:tcPr>
            <w:tcW w:w="2830" w:type="dxa"/>
            <w:tcBorders>
              <w:right w:val="single" w:sz="4" w:space="0" w:color="auto"/>
            </w:tcBorders>
          </w:tcPr>
          <w:p w:rsidR="00AA78B2" w:rsidRPr="00EA1D7C" w:rsidRDefault="00AA78B2" w:rsidP="00AA78B2">
            <w:pPr>
              <w:rPr>
                <w:sz w:val="20"/>
                <w:szCs w:val="20"/>
              </w:rPr>
            </w:pPr>
            <w:r>
              <w:rPr>
                <w:sz w:val="20"/>
                <w:szCs w:val="20"/>
              </w:rPr>
              <w:t>Price variations (cumulative)</w:t>
            </w:r>
          </w:p>
        </w:tc>
        <w:tc>
          <w:tcPr>
            <w:tcW w:w="2268"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0.004</w:t>
            </w:r>
          </w:p>
        </w:tc>
        <w:tc>
          <w:tcPr>
            <w:tcW w:w="2126" w:type="dxa"/>
            <w:tcBorders>
              <w:top w:val="single" w:sz="4" w:space="0" w:color="auto"/>
              <w:left w:val="single" w:sz="4" w:space="0" w:color="auto"/>
              <w:bottom w:val="single" w:sz="4" w:space="0" w:color="auto"/>
              <w:right w:val="single" w:sz="4" w:space="0" w:color="auto"/>
            </w:tcBorders>
          </w:tcPr>
          <w:p w:rsidR="00AA78B2" w:rsidRPr="00B25405" w:rsidRDefault="00AA78B2" w:rsidP="00AA78B2">
            <w:pPr>
              <w:jc w:val="right"/>
              <w:rPr>
                <w:sz w:val="20"/>
                <w:szCs w:val="20"/>
              </w:rPr>
            </w:pPr>
            <w:r w:rsidRPr="00FB7ABB">
              <w:rPr>
                <w:noProof/>
                <w:sz w:val="20"/>
                <w:szCs w:val="20"/>
              </w:rPr>
              <w:t>0.004</w:t>
            </w:r>
          </w:p>
        </w:tc>
      </w:tr>
      <w:tr w:rsidR="00AA78B2" w:rsidTr="005B7C5A">
        <w:tc>
          <w:tcPr>
            <w:tcW w:w="2830" w:type="dxa"/>
            <w:shd w:val="clear" w:color="auto" w:fill="auto"/>
          </w:tcPr>
          <w:p w:rsidR="00AA78B2" w:rsidRPr="004D588F" w:rsidRDefault="00AA78B2" w:rsidP="00AA78B2">
            <w:pPr>
              <w:rPr>
                <w:sz w:val="20"/>
                <w:szCs w:val="20"/>
              </w:rPr>
            </w:pPr>
            <w:r>
              <w:rPr>
                <w:sz w:val="20"/>
                <w:szCs w:val="20"/>
              </w:rPr>
              <w:t>Undeliverable savings (cumulative)</w:t>
            </w:r>
          </w:p>
        </w:tc>
        <w:tc>
          <w:tcPr>
            <w:tcW w:w="2268"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1985"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2126" w:type="dxa"/>
            <w:shd w:val="clear" w:color="auto" w:fill="auto"/>
          </w:tcPr>
          <w:p w:rsidR="00AA78B2" w:rsidRPr="00C844FA" w:rsidRDefault="00AA78B2" w:rsidP="00AA78B2">
            <w:pPr>
              <w:jc w:val="right"/>
              <w:rPr>
                <w:sz w:val="20"/>
                <w:szCs w:val="20"/>
              </w:rPr>
            </w:pPr>
            <w:r w:rsidRPr="00FB7ABB">
              <w:rPr>
                <w:noProof/>
                <w:sz w:val="20"/>
                <w:szCs w:val="20"/>
              </w:rPr>
              <w:t>0.000</w:t>
            </w:r>
          </w:p>
        </w:tc>
      </w:tr>
      <w:tr w:rsidR="00AA78B2" w:rsidTr="005B7C5A">
        <w:tc>
          <w:tcPr>
            <w:tcW w:w="2830" w:type="dxa"/>
            <w:shd w:val="clear" w:color="auto" w:fill="auto"/>
          </w:tcPr>
          <w:p w:rsidR="00AA78B2" w:rsidRDefault="00AA78B2" w:rsidP="00AA78B2">
            <w:pPr>
              <w:rPr>
                <w:sz w:val="20"/>
                <w:szCs w:val="20"/>
              </w:rPr>
            </w:pPr>
            <w:r>
              <w:rPr>
                <w:sz w:val="20"/>
                <w:szCs w:val="20"/>
              </w:rPr>
              <w:t>Loss of grant (cumulative)</w:t>
            </w:r>
          </w:p>
        </w:tc>
        <w:tc>
          <w:tcPr>
            <w:tcW w:w="2268"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1985" w:type="dxa"/>
            <w:shd w:val="clear" w:color="auto" w:fill="auto"/>
          </w:tcPr>
          <w:p w:rsidR="00AA78B2" w:rsidRPr="00C844FA" w:rsidRDefault="00AA78B2" w:rsidP="00AA78B2">
            <w:pPr>
              <w:jc w:val="right"/>
              <w:rPr>
                <w:sz w:val="20"/>
                <w:szCs w:val="20"/>
              </w:rPr>
            </w:pPr>
            <w:r w:rsidRPr="00FB7ABB">
              <w:rPr>
                <w:noProof/>
                <w:sz w:val="20"/>
                <w:szCs w:val="20"/>
              </w:rPr>
              <w:t>0.000</w:t>
            </w:r>
          </w:p>
        </w:tc>
        <w:tc>
          <w:tcPr>
            <w:tcW w:w="2126" w:type="dxa"/>
            <w:shd w:val="clear" w:color="auto" w:fill="auto"/>
          </w:tcPr>
          <w:p w:rsidR="00AA78B2" w:rsidRPr="00C844FA" w:rsidRDefault="00AA78B2" w:rsidP="00AA78B2">
            <w:pPr>
              <w:jc w:val="right"/>
              <w:rPr>
                <w:sz w:val="20"/>
                <w:szCs w:val="20"/>
              </w:rPr>
            </w:pPr>
            <w:r w:rsidRPr="00FB7ABB">
              <w:rPr>
                <w:noProof/>
                <w:sz w:val="20"/>
                <w:szCs w:val="20"/>
              </w:rPr>
              <w:t>0.000</w:t>
            </w:r>
          </w:p>
        </w:tc>
      </w:tr>
      <w:tr w:rsidR="00AA78B2" w:rsidTr="005B7C5A">
        <w:tc>
          <w:tcPr>
            <w:tcW w:w="2830" w:type="dxa"/>
            <w:tcBorders>
              <w:bottom w:val="single" w:sz="4" w:space="0" w:color="auto"/>
            </w:tcBorders>
            <w:shd w:val="clear" w:color="auto" w:fill="BFBFBF" w:themeFill="background1" w:themeFillShade="BF"/>
          </w:tcPr>
          <w:p w:rsidR="00AA78B2" w:rsidRPr="00EA1D7C" w:rsidRDefault="00AA78B2" w:rsidP="00AA78B2">
            <w:pPr>
              <w:rPr>
                <w:b/>
                <w:sz w:val="20"/>
                <w:szCs w:val="20"/>
              </w:rPr>
            </w:pPr>
            <w:r>
              <w:rPr>
                <w:b/>
                <w:sz w:val="20"/>
                <w:szCs w:val="20"/>
              </w:rPr>
              <w:t>Revised Resource Requirement</w:t>
            </w:r>
          </w:p>
        </w:tc>
        <w:tc>
          <w:tcPr>
            <w:tcW w:w="2268" w:type="dxa"/>
            <w:tcBorders>
              <w:bottom w:val="single" w:sz="4" w:space="0" w:color="auto"/>
            </w:tcBorders>
            <w:shd w:val="clear" w:color="auto" w:fill="BFBFBF" w:themeFill="background1" w:themeFillShade="BF"/>
          </w:tcPr>
          <w:p w:rsidR="00AA78B2" w:rsidRPr="00F32F81" w:rsidRDefault="00AA78B2" w:rsidP="00AA78B2">
            <w:pPr>
              <w:jc w:val="right"/>
              <w:rPr>
                <w:b/>
                <w:sz w:val="20"/>
                <w:szCs w:val="20"/>
              </w:rPr>
            </w:pPr>
            <w:r w:rsidRPr="00FB7ABB">
              <w:rPr>
                <w:b/>
                <w:noProof/>
                <w:sz w:val="20"/>
                <w:szCs w:val="20"/>
              </w:rPr>
              <w:t>3.629</w:t>
            </w:r>
          </w:p>
        </w:tc>
        <w:tc>
          <w:tcPr>
            <w:tcW w:w="1985" w:type="dxa"/>
            <w:tcBorders>
              <w:bottom w:val="single" w:sz="4" w:space="0" w:color="auto"/>
            </w:tcBorders>
            <w:shd w:val="clear" w:color="auto" w:fill="BFBFBF" w:themeFill="background1" w:themeFillShade="BF"/>
          </w:tcPr>
          <w:p w:rsidR="00AA78B2" w:rsidRPr="00F32F81" w:rsidRDefault="00AA78B2" w:rsidP="00AA78B2">
            <w:pPr>
              <w:jc w:val="right"/>
              <w:rPr>
                <w:b/>
                <w:sz w:val="20"/>
                <w:szCs w:val="20"/>
              </w:rPr>
            </w:pPr>
            <w:r w:rsidRPr="00FB7ABB">
              <w:rPr>
                <w:b/>
                <w:noProof/>
                <w:sz w:val="20"/>
                <w:szCs w:val="20"/>
              </w:rPr>
              <w:t>3.495</w:t>
            </w:r>
          </w:p>
        </w:tc>
        <w:tc>
          <w:tcPr>
            <w:tcW w:w="2126" w:type="dxa"/>
            <w:tcBorders>
              <w:bottom w:val="single" w:sz="4" w:space="0" w:color="auto"/>
            </w:tcBorders>
            <w:shd w:val="clear" w:color="auto" w:fill="BFBFBF" w:themeFill="background1" w:themeFillShade="BF"/>
          </w:tcPr>
          <w:p w:rsidR="00AA78B2" w:rsidRPr="00F32F81" w:rsidRDefault="00AA78B2" w:rsidP="00AA78B2">
            <w:pPr>
              <w:jc w:val="right"/>
              <w:rPr>
                <w:b/>
                <w:sz w:val="20"/>
                <w:szCs w:val="20"/>
              </w:rPr>
            </w:pPr>
            <w:r w:rsidRPr="00FB7ABB">
              <w:rPr>
                <w:b/>
                <w:noProof/>
                <w:sz w:val="20"/>
                <w:szCs w:val="20"/>
              </w:rPr>
              <w:t>3.487</w:t>
            </w:r>
          </w:p>
        </w:tc>
      </w:tr>
      <w:tr w:rsidR="00AA78B2" w:rsidTr="005B7C5A">
        <w:tc>
          <w:tcPr>
            <w:tcW w:w="2830" w:type="dxa"/>
            <w:tcBorders>
              <w:bottom w:val="single" w:sz="4" w:space="0" w:color="auto"/>
            </w:tcBorders>
            <w:shd w:val="clear" w:color="auto" w:fill="auto"/>
          </w:tcPr>
          <w:p w:rsidR="00AA78B2" w:rsidRPr="00F26FCF" w:rsidRDefault="00AA78B2" w:rsidP="00AA78B2">
            <w:pPr>
              <w:rPr>
                <w:sz w:val="20"/>
                <w:szCs w:val="20"/>
              </w:rPr>
            </w:pPr>
            <w:r>
              <w:rPr>
                <w:sz w:val="20"/>
                <w:szCs w:val="20"/>
              </w:rPr>
              <w:t>Additional savings target for approval (cumulative)</w:t>
            </w:r>
          </w:p>
        </w:tc>
        <w:tc>
          <w:tcPr>
            <w:tcW w:w="2268" w:type="dxa"/>
            <w:tcBorders>
              <w:bottom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-0.175</w:t>
            </w:r>
          </w:p>
        </w:tc>
        <w:tc>
          <w:tcPr>
            <w:tcW w:w="2126" w:type="dxa"/>
            <w:tcBorders>
              <w:bottom w:val="single" w:sz="4" w:space="0" w:color="auto"/>
            </w:tcBorders>
            <w:shd w:val="clear" w:color="auto" w:fill="auto"/>
          </w:tcPr>
          <w:p w:rsidR="00AA78B2" w:rsidRPr="00B25405" w:rsidRDefault="00AA78B2" w:rsidP="00AA78B2">
            <w:pPr>
              <w:jc w:val="right"/>
              <w:rPr>
                <w:sz w:val="20"/>
                <w:szCs w:val="20"/>
              </w:rPr>
            </w:pPr>
            <w:r w:rsidRPr="00FB7ABB">
              <w:rPr>
                <w:noProof/>
                <w:sz w:val="20"/>
                <w:szCs w:val="20"/>
              </w:rPr>
              <w:t>-0.175</w:t>
            </w:r>
          </w:p>
        </w:tc>
      </w:tr>
      <w:tr w:rsidR="00AA78B2" w:rsidTr="005B7C5A">
        <w:tc>
          <w:tcPr>
            <w:tcW w:w="2830" w:type="dxa"/>
            <w:tcBorders>
              <w:bottom w:val="single" w:sz="4" w:space="0" w:color="auto"/>
            </w:tcBorders>
            <w:shd w:val="clear" w:color="auto" w:fill="AEAAAA" w:themeFill="background2" w:themeFillShade="BF"/>
          </w:tcPr>
          <w:p w:rsidR="00AA78B2" w:rsidRPr="00F26FCF" w:rsidRDefault="00AA78B2" w:rsidP="00AA78B2">
            <w:pPr>
              <w:rPr>
                <w:b/>
                <w:sz w:val="20"/>
                <w:szCs w:val="20"/>
              </w:rPr>
            </w:pPr>
            <w:r w:rsidRPr="00F26FCF">
              <w:rPr>
                <w:b/>
                <w:sz w:val="20"/>
                <w:szCs w:val="20"/>
              </w:rPr>
              <w:t>Revised proposed budget</w:t>
            </w:r>
          </w:p>
        </w:tc>
        <w:tc>
          <w:tcPr>
            <w:tcW w:w="2268" w:type="dxa"/>
            <w:tcBorders>
              <w:bottom w:val="single" w:sz="4" w:space="0" w:color="auto"/>
            </w:tcBorders>
            <w:shd w:val="clear" w:color="auto" w:fill="AEAAAA" w:themeFill="background2" w:themeFillShade="BF"/>
          </w:tcPr>
          <w:p w:rsidR="00AA78B2" w:rsidRPr="00F32F81" w:rsidRDefault="00AA78B2" w:rsidP="00AA78B2">
            <w:pPr>
              <w:jc w:val="right"/>
              <w:rPr>
                <w:b/>
                <w:sz w:val="20"/>
                <w:szCs w:val="20"/>
              </w:rPr>
            </w:pPr>
            <w:r w:rsidRPr="00FB7ABB">
              <w:rPr>
                <w:b/>
                <w:noProof/>
                <w:sz w:val="20"/>
                <w:szCs w:val="20"/>
              </w:rPr>
              <w:t>3.629</w:t>
            </w:r>
          </w:p>
        </w:tc>
        <w:tc>
          <w:tcPr>
            <w:tcW w:w="1985" w:type="dxa"/>
            <w:tcBorders>
              <w:bottom w:val="single" w:sz="4" w:space="0" w:color="auto"/>
            </w:tcBorders>
            <w:shd w:val="clear" w:color="auto" w:fill="AEAAAA" w:themeFill="background2" w:themeFillShade="BF"/>
          </w:tcPr>
          <w:p w:rsidR="00AA78B2" w:rsidRPr="00F32F81" w:rsidRDefault="00AA78B2" w:rsidP="00AA78B2">
            <w:pPr>
              <w:jc w:val="right"/>
              <w:rPr>
                <w:b/>
                <w:sz w:val="20"/>
                <w:szCs w:val="20"/>
              </w:rPr>
            </w:pPr>
            <w:r w:rsidRPr="00FB7ABB">
              <w:rPr>
                <w:b/>
                <w:noProof/>
                <w:sz w:val="20"/>
                <w:szCs w:val="20"/>
              </w:rPr>
              <w:t>3.320</w:t>
            </w:r>
          </w:p>
        </w:tc>
        <w:tc>
          <w:tcPr>
            <w:tcW w:w="2126" w:type="dxa"/>
            <w:tcBorders>
              <w:bottom w:val="single" w:sz="4" w:space="0" w:color="auto"/>
            </w:tcBorders>
            <w:shd w:val="clear" w:color="auto" w:fill="AEAAAA" w:themeFill="background2" w:themeFillShade="BF"/>
          </w:tcPr>
          <w:p w:rsidR="00AA78B2" w:rsidRPr="00F32F81" w:rsidRDefault="00AA78B2" w:rsidP="00AA78B2">
            <w:pPr>
              <w:jc w:val="right"/>
              <w:rPr>
                <w:b/>
                <w:sz w:val="20"/>
                <w:szCs w:val="20"/>
              </w:rPr>
            </w:pPr>
            <w:r w:rsidRPr="00FB7ABB">
              <w:rPr>
                <w:b/>
                <w:noProof/>
                <w:sz w:val="20"/>
                <w:szCs w:val="20"/>
              </w:rPr>
              <w:t>3.312</w:t>
            </w:r>
          </w:p>
        </w:tc>
      </w:tr>
      <w:tr w:rsidR="00AA78B2" w:rsidTr="005B7C5A">
        <w:tc>
          <w:tcPr>
            <w:tcW w:w="2830" w:type="dxa"/>
            <w:shd w:val="clear" w:color="auto" w:fill="auto"/>
          </w:tcPr>
          <w:p w:rsidR="00AA78B2" w:rsidRDefault="00AA78B2" w:rsidP="00AA78B2">
            <w:pPr>
              <w:rPr>
                <w:sz w:val="20"/>
                <w:szCs w:val="20"/>
              </w:rPr>
            </w:pPr>
            <w:r>
              <w:rPr>
                <w:sz w:val="20"/>
                <w:szCs w:val="20"/>
              </w:rPr>
              <w:t>Proposed risk</w:t>
            </w:r>
            <w:r w:rsidRPr="00B25405">
              <w:rPr>
                <w:sz w:val="20"/>
                <w:szCs w:val="20"/>
              </w:rPr>
              <w:t xml:space="preserve"> reserve provision</w:t>
            </w:r>
          </w:p>
          <w:p w:rsidR="00AA78B2" w:rsidRPr="00B25405" w:rsidRDefault="00833860" w:rsidP="00AA78B2">
            <w:pPr>
              <w:rPr>
                <w:sz w:val="20"/>
                <w:szCs w:val="20"/>
              </w:rPr>
            </w:pPr>
            <w:r>
              <w:rPr>
                <w:sz w:val="20"/>
                <w:szCs w:val="20"/>
              </w:rPr>
              <w:t>(discrete year)</w:t>
            </w:r>
          </w:p>
        </w:tc>
        <w:tc>
          <w:tcPr>
            <w:tcW w:w="2268" w:type="dxa"/>
            <w:shd w:val="clear" w:color="auto" w:fill="auto"/>
          </w:tcPr>
          <w:p w:rsidR="00AA78B2" w:rsidRPr="00B25405" w:rsidRDefault="00AA78B2" w:rsidP="00AA78B2">
            <w:pPr>
              <w:jc w:val="right"/>
              <w:rPr>
                <w:sz w:val="20"/>
                <w:szCs w:val="20"/>
              </w:rPr>
            </w:pPr>
          </w:p>
        </w:tc>
        <w:tc>
          <w:tcPr>
            <w:tcW w:w="1985" w:type="dxa"/>
            <w:shd w:val="clear" w:color="auto" w:fill="auto"/>
          </w:tcPr>
          <w:p w:rsidR="00AA78B2" w:rsidRPr="00B25405" w:rsidRDefault="00AA78B2" w:rsidP="00AA78B2">
            <w:pPr>
              <w:jc w:val="right"/>
              <w:rPr>
                <w:sz w:val="20"/>
                <w:szCs w:val="20"/>
              </w:rPr>
            </w:pPr>
            <w:r w:rsidRPr="00FB7ABB">
              <w:rPr>
                <w:noProof/>
                <w:sz w:val="20"/>
                <w:szCs w:val="20"/>
              </w:rPr>
              <w:t>0.175</w:t>
            </w:r>
          </w:p>
        </w:tc>
        <w:tc>
          <w:tcPr>
            <w:tcW w:w="2126" w:type="dxa"/>
            <w:shd w:val="clear" w:color="auto" w:fill="auto"/>
          </w:tcPr>
          <w:p w:rsidR="00AA78B2" w:rsidRPr="00B25405" w:rsidRDefault="00AA78B2" w:rsidP="00AA78B2">
            <w:pPr>
              <w:jc w:val="right"/>
              <w:rPr>
                <w:sz w:val="20"/>
                <w:szCs w:val="20"/>
              </w:rPr>
            </w:pPr>
            <w:r w:rsidRPr="00FB7ABB">
              <w:rPr>
                <w:noProof/>
                <w:sz w:val="20"/>
                <w:szCs w:val="20"/>
              </w:rPr>
              <w:t>0.175</w:t>
            </w:r>
          </w:p>
        </w:tc>
      </w:tr>
      <w:tr w:rsidR="00AA78B2" w:rsidTr="005B7C5A">
        <w:tc>
          <w:tcPr>
            <w:tcW w:w="2830" w:type="dxa"/>
          </w:tcPr>
          <w:p w:rsidR="00AA78B2" w:rsidRDefault="00AA78B2" w:rsidP="00AA78B2">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AA78B2" w:rsidRPr="00B25405" w:rsidRDefault="00AA78B2" w:rsidP="00AA78B2">
            <w:pPr>
              <w:rPr>
                <w:sz w:val="20"/>
                <w:szCs w:val="20"/>
              </w:rPr>
            </w:pPr>
          </w:p>
        </w:tc>
        <w:tc>
          <w:tcPr>
            <w:tcW w:w="6379" w:type="dxa"/>
            <w:gridSpan w:val="3"/>
          </w:tcPr>
          <w:p w:rsidR="00AA78B2" w:rsidRDefault="00AA78B2" w:rsidP="00AA78B2">
            <w:pPr>
              <w:rPr>
                <w:sz w:val="20"/>
                <w:szCs w:val="20"/>
              </w:rPr>
            </w:pPr>
            <w:r>
              <w:rPr>
                <w:sz w:val="20"/>
                <w:szCs w:val="20"/>
              </w:rPr>
              <w:t>A reduction in the capacity of the service by the equivalent of 6 FTEs, as the council downsizes, by April 2018.  It is proposed that the revenue budget be reduced by £175k from 1</w:t>
            </w:r>
            <w:r w:rsidRPr="00457763">
              <w:rPr>
                <w:sz w:val="20"/>
                <w:szCs w:val="20"/>
                <w:vertAlign w:val="superscript"/>
              </w:rPr>
              <w:t>st</w:t>
            </w:r>
            <w:r>
              <w:rPr>
                <w:sz w:val="20"/>
                <w:szCs w:val="20"/>
              </w:rPr>
              <w:t xml:space="preserve"> April 2016, with that amount funded from reserves in 2016/17 and 2017/18.  </w:t>
            </w:r>
          </w:p>
          <w:p w:rsidR="00AA78B2" w:rsidRPr="00145014" w:rsidRDefault="00AA78B2" w:rsidP="00AA78B2">
            <w:pPr>
              <w:rPr>
                <w:sz w:val="20"/>
                <w:szCs w:val="20"/>
              </w:rPr>
            </w:pPr>
          </w:p>
        </w:tc>
      </w:tr>
      <w:tr w:rsidR="00AA78B2" w:rsidTr="005B7C5A">
        <w:tc>
          <w:tcPr>
            <w:tcW w:w="2830" w:type="dxa"/>
          </w:tcPr>
          <w:p w:rsidR="00AA78B2" w:rsidRPr="0066742C" w:rsidRDefault="00AA78B2" w:rsidP="00AA78B2">
            <w:pPr>
              <w:rPr>
                <w:sz w:val="20"/>
                <w:szCs w:val="20"/>
              </w:rPr>
            </w:pPr>
            <w:r>
              <w:rPr>
                <w:sz w:val="20"/>
                <w:szCs w:val="20"/>
              </w:rPr>
              <w:t>Impact on service</w:t>
            </w:r>
          </w:p>
        </w:tc>
        <w:tc>
          <w:tcPr>
            <w:tcW w:w="6379" w:type="dxa"/>
            <w:gridSpan w:val="3"/>
          </w:tcPr>
          <w:p w:rsidR="00AA78B2" w:rsidRPr="001C1749" w:rsidRDefault="00AA78B2" w:rsidP="00AA78B2">
            <w:pPr>
              <w:pStyle w:val="ListParagraph"/>
              <w:numPr>
                <w:ilvl w:val="0"/>
                <w:numId w:val="10"/>
              </w:numPr>
              <w:ind w:left="318" w:hanging="262"/>
              <w:rPr>
                <w:sz w:val="20"/>
                <w:szCs w:val="20"/>
              </w:rPr>
            </w:pPr>
            <w:r w:rsidRPr="001C1749">
              <w:rPr>
                <w:sz w:val="20"/>
                <w:szCs w:val="20"/>
              </w:rPr>
              <w:t>Service plans are in place to deliver the £520k saving that is currently built in to the budget. This will be delivered through stopping some of the non-statutory elements of the service.</w:t>
            </w:r>
            <w:r>
              <w:rPr>
                <w:sz w:val="20"/>
                <w:szCs w:val="20"/>
              </w:rPr>
              <w:t xml:space="preserve"> </w:t>
            </w:r>
          </w:p>
          <w:p w:rsidR="00AA78B2" w:rsidRPr="00E21F4E" w:rsidRDefault="00AA78B2" w:rsidP="00AA78B2">
            <w:pPr>
              <w:pStyle w:val="ListParagraph"/>
              <w:numPr>
                <w:ilvl w:val="0"/>
                <w:numId w:val="10"/>
              </w:numPr>
              <w:ind w:left="318" w:hanging="262"/>
              <w:rPr>
                <w:sz w:val="20"/>
                <w:szCs w:val="20"/>
              </w:rPr>
            </w:pPr>
            <w:r w:rsidRPr="00E21F4E">
              <w:rPr>
                <w:sz w:val="20"/>
                <w:szCs w:val="20"/>
              </w:rPr>
              <w:t xml:space="preserve">Whilst a core of the service will need to remain to enable the organisation to meet its statutory obligations (regardless of the size of the organisation), reductions in the revenue budget for the service can be made as the size of the organisation reduces. </w:t>
            </w:r>
          </w:p>
          <w:p w:rsidR="00AA78B2" w:rsidRPr="008027E6" w:rsidRDefault="00AA78B2" w:rsidP="00AA78B2">
            <w:pPr>
              <w:pStyle w:val="ListParagraph"/>
              <w:ind w:left="318"/>
              <w:rPr>
                <w:sz w:val="20"/>
                <w:szCs w:val="20"/>
              </w:rPr>
            </w:pPr>
          </w:p>
        </w:tc>
      </w:tr>
      <w:tr w:rsidR="00AA78B2" w:rsidTr="005B7C5A">
        <w:tc>
          <w:tcPr>
            <w:tcW w:w="2830" w:type="dxa"/>
          </w:tcPr>
          <w:p w:rsidR="00AA78B2" w:rsidRPr="00B25405" w:rsidRDefault="00AA78B2" w:rsidP="00AA78B2">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6379" w:type="dxa"/>
            <w:gridSpan w:val="3"/>
          </w:tcPr>
          <w:p w:rsidR="00AA78B2" w:rsidRDefault="00AA78B2" w:rsidP="00AA78B2">
            <w:pPr>
              <w:pStyle w:val="ListParagraph"/>
              <w:numPr>
                <w:ilvl w:val="0"/>
                <w:numId w:val="10"/>
              </w:numPr>
              <w:ind w:left="318" w:hanging="262"/>
              <w:rPr>
                <w:sz w:val="20"/>
                <w:szCs w:val="20"/>
              </w:rPr>
            </w:pPr>
            <w:r>
              <w:rPr>
                <w:sz w:val="20"/>
                <w:szCs w:val="20"/>
              </w:rPr>
              <w:t>The identification of service activities that can cease or be reconfigured and the development of an action plan to implement the changes.</w:t>
            </w:r>
          </w:p>
          <w:p w:rsidR="00AA78B2" w:rsidRDefault="00AA78B2" w:rsidP="00AA78B2">
            <w:pPr>
              <w:pStyle w:val="ListParagraph"/>
              <w:numPr>
                <w:ilvl w:val="0"/>
                <w:numId w:val="10"/>
              </w:numPr>
              <w:ind w:left="318" w:hanging="262"/>
              <w:rPr>
                <w:sz w:val="20"/>
                <w:szCs w:val="20"/>
              </w:rPr>
            </w:pPr>
            <w:r w:rsidRPr="001C1749">
              <w:rPr>
                <w:sz w:val="20"/>
                <w:szCs w:val="20"/>
              </w:rPr>
              <w:t>Consultation on proposal</w:t>
            </w:r>
            <w:r>
              <w:rPr>
                <w:sz w:val="20"/>
                <w:szCs w:val="20"/>
              </w:rPr>
              <w:t>s</w:t>
            </w:r>
            <w:r w:rsidRPr="001C1749">
              <w:rPr>
                <w:sz w:val="20"/>
                <w:szCs w:val="20"/>
              </w:rPr>
              <w:t>/structure in July 2017.</w:t>
            </w:r>
          </w:p>
          <w:p w:rsidR="00AA78B2" w:rsidRPr="001C1749" w:rsidRDefault="00AA78B2" w:rsidP="00AA78B2">
            <w:pPr>
              <w:pStyle w:val="ListParagraph"/>
              <w:numPr>
                <w:ilvl w:val="0"/>
                <w:numId w:val="10"/>
              </w:numPr>
              <w:ind w:left="318" w:hanging="262"/>
              <w:rPr>
                <w:sz w:val="20"/>
                <w:szCs w:val="20"/>
              </w:rPr>
            </w:pPr>
            <w:r w:rsidRPr="001C1749">
              <w:rPr>
                <w:sz w:val="20"/>
                <w:szCs w:val="20"/>
              </w:rPr>
              <w:t>Statutory consultation process with Trades Unions with respect to po</w:t>
            </w:r>
            <w:r>
              <w:rPr>
                <w:sz w:val="20"/>
                <w:szCs w:val="20"/>
              </w:rPr>
              <w:t>tential for redundancies, July 2017</w:t>
            </w:r>
            <w:r w:rsidRPr="001C1749">
              <w:rPr>
                <w:sz w:val="20"/>
                <w:szCs w:val="20"/>
              </w:rPr>
              <w:t>.</w:t>
            </w:r>
          </w:p>
          <w:p w:rsidR="00AA78B2" w:rsidRPr="008027E6" w:rsidRDefault="00AA78B2" w:rsidP="00AA78B2">
            <w:pPr>
              <w:pStyle w:val="ListParagraph"/>
              <w:ind w:left="318"/>
              <w:rPr>
                <w:sz w:val="20"/>
                <w:szCs w:val="20"/>
              </w:rPr>
            </w:pPr>
          </w:p>
        </w:tc>
      </w:tr>
      <w:tr w:rsidR="00AA78B2" w:rsidTr="005B7C5A">
        <w:tc>
          <w:tcPr>
            <w:tcW w:w="2830" w:type="dxa"/>
          </w:tcPr>
          <w:p w:rsidR="00AA78B2" w:rsidRDefault="00AA78B2" w:rsidP="00AA78B2">
            <w:pPr>
              <w:rPr>
                <w:sz w:val="20"/>
                <w:szCs w:val="20"/>
              </w:rPr>
            </w:pPr>
            <w:r>
              <w:rPr>
                <w:sz w:val="20"/>
                <w:szCs w:val="20"/>
              </w:rPr>
              <w:t>Equality Analysis</w:t>
            </w:r>
          </w:p>
          <w:p w:rsidR="00806548" w:rsidRPr="00B25405" w:rsidRDefault="00806548" w:rsidP="00AA78B2">
            <w:pPr>
              <w:rPr>
                <w:sz w:val="20"/>
                <w:szCs w:val="20"/>
              </w:rPr>
            </w:pPr>
          </w:p>
        </w:tc>
        <w:tc>
          <w:tcPr>
            <w:tcW w:w="6379" w:type="dxa"/>
            <w:gridSpan w:val="3"/>
          </w:tcPr>
          <w:p w:rsidR="00AA78B2" w:rsidRPr="008039DA" w:rsidRDefault="00885975" w:rsidP="00AA78B2">
            <w:pPr>
              <w:rPr>
                <w:sz w:val="20"/>
                <w:szCs w:val="20"/>
              </w:rPr>
            </w:pPr>
            <w:hyperlink r:id="rId6" w:history="1">
              <w:r>
                <w:rPr>
                  <w:rStyle w:val="Hyperlink"/>
                  <w:sz w:val="20"/>
                  <w:szCs w:val="20"/>
                </w:rPr>
                <w:t>Click here to view document</w:t>
              </w:r>
            </w:hyperlink>
            <w:bookmarkStart w:id="0" w:name="_GoBack"/>
            <w:bookmarkEnd w:id="0"/>
          </w:p>
        </w:tc>
      </w:tr>
    </w:tbl>
    <w:p w:rsidR="006D68F4" w:rsidRDefault="006D68F4" w:rsidP="006D68F4">
      <w:pPr>
        <w:spacing w:after="0" w:line="240" w:lineRule="auto"/>
        <w:rPr>
          <w:b/>
          <w:sz w:val="20"/>
          <w:szCs w:val="20"/>
        </w:rPr>
      </w:pPr>
    </w:p>
    <w:p w:rsidR="00145014" w:rsidRDefault="006D68F4" w:rsidP="00806548">
      <w:pPr>
        <w:rPr>
          <w:b/>
          <w:sz w:val="20"/>
          <w:szCs w:val="20"/>
        </w:rPr>
      </w:pPr>
      <w:r w:rsidRPr="006D68F4">
        <w:rPr>
          <w:b/>
          <w:sz w:val="20"/>
          <w:szCs w:val="20"/>
        </w:rPr>
        <w:t>What does this service deliver?</w:t>
      </w:r>
    </w:p>
    <w:p w:rsidR="006D68F4" w:rsidRPr="006D68F4" w:rsidRDefault="006D68F4" w:rsidP="006D68F4">
      <w:pPr>
        <w:spacing w:after="0" w:line="240" w:lineRule="auto"/>
        <w:rPr>
          <w:rFonts w:cs="Arial"/>
          <w:sz w:val="20"/>
          <w:szCs w:val="20"/>
        </w:rPr>
      </w:pPr>
      <w:r w:rsidRPr="006D68F4">
        <w:rPr>
          <w:rFonts w:cs="Arial"/>
          <w:sz w:val="20"/>
          <w:szCs w:val="20"/>
        </w:rPr>
        <w:t xml:space="preserve">Specific functions of the service include: </w:t>
      </w:r>
    </w:p>
    <w:p w:rsidR="00D22955" w:rsidRDefault="00D22955" w:rsidP="005B7C5A">
      <w:pPr>
        <w:spacing w:after="0" w:line="240" w:lineRule="auto"/>
        <w:rPr>
          <w:rFonts w:eastAsia="Times New Roman" w:cs="Arial"/>
          <w:b/>
          <w:color w:val="000000"/>
          <w:sz w:val="20"/>
          <w:szCs w:val="20"/>
          <w:lang w:val="en" w:eastAsia="en-GB"/>
        </w:rPr>
      </w:pPr>
    </w:p>
    <w:p w:rsidR="006D68F4" w:rsidRDefault="006D68F4" w:rsidP="005B7C5A">
      <w:pPr>
        <w:spacing w:after="0" w:line="240" w:lineRule="auto"/>
        <w:rPr>
          <w:rFonts w:eastAsia="Times New Roman" w:cs="Arial"/>
          <w:sz w:val="20"/>
          <w:szCs w:val="20"/>
          <w:lang w:val="en"/>
        </w:rPr>
      </w:pPr>
      <w:r w:rsidRPr="006D68F4">
        <w:rPr>
          <w:rFonts w:eastAsia="Times New Roman" w:cs="Arial"/>
          <w:b/>
          <w:color w:val="000000"/>
          <w:sz w:val="20"/>
          <w:szCs w:val="20"/>
          <w:lang w:val="en" w:eastAsia="en-GB"/>
        </w:rPr>
        <w:t>Records Management Service (RMS)</w:t>
      </w:r>
      <w:r w:rsidR="005B7C5A">
        <w:rPr>
          <w:rFonts w:eastAsia="Times New Roman" w:cs="Arial"/>
          <w:b/>
          <w:color w:val="000000"/>
          <w:sz w:val="20"/>
          <w:szCs w:val="20"/>
          <w:lang w:val="en" w:eastAsia="en-GB"/>
        </w:rPr>
        <w:t xml:space="preserve"> </w:t>
      </w:r>
      <w:r w:rsidR="005B7C5A" w:rsidRPr="005B7C5A">
        <w:rPr>
          <w:rFonts w:eastAsia="Times New Roman" w:cs="Arial"/>
          <w:color w:val="000000"/>
          <w:sz w:val="20"/>
          <w:szCs w:val="20"/>
          <w:lang w:val="en" w:eastAsia="en-GB"/>
        </w:rPr>
        <w:t>-</w:t>
      </w:r>
      <w:r w:rsidR="005B7C5A">
        <w:rPr>
          <w:rFonts w:eastAsia="Times New Roman" w:cs="Arial"/>
          <w:b/>
          <w:color w:val="000000"/>
          <w:sz w:val="20"/>
          <w:szCs w:val="20"/>
          <w:lang w:val="en" w:eastAsia="en-GB"/>
        </w:rPr>
        <w:t xml:space="preserve"> </w:t>
      </w:r>
      <w:r w:rsidRPr="006D68F4">
        <w:rPr>
          <w:rFonts w:eastAsia="Times New Roman" w:cs="Arial"/>
          <w:color w:val="000000"/>
          <w:sz w:val="20"/>
          <w:szCs w:val="20"/>
          <w:lang w:val="en"/>
        </w:rPr>
        <w:t>Provide the corporate policy framework, systems, processes and procedures to support meeting statutory obligations for recordkeeping</w:t>
      </w:r>
      <w:r w:rsidR="005B7C5A">
        <w:rPr>
          <w:rFonts w:eastAsia="Times New Roman" w:cs="Arial"/>
          <w:color w:val="000000"/>
          <w:sz w:val="20"/>
          <w:szCs w:val="20"/>
          <w:lang w:val="en"/>
        </w:rPr>
        <w:t xml:space="preserve">; </w:t>
      </w:r>
      <w:proofErr w:type="gramStart"/>
      <w:r w:rsidRPr="006D68F4">
        <w:rPr>
          <w:rFonts w:eastAsia="Times New Roman" w:cs="Arial"/>
          <w:sz w:val="20"/>
          <w:szCs w:val="20"/>
          <w:lang w:val="en"/>
        </w:rPr>
        <w:t>The</w:t>
      </w:r>
      <w:proofErr w:type="gramEnd"/>
      <w:r w:rsidRPr="006D68F4">
        <w:rPr>
          <w:rFonts w:eastAsia="Times New Roman" w:cs="Arial"/>
          <w:sz w:val="20"/>
          <w:szCs w:val="20"/>
          <w:lang w:val="en"/>
        </w:rPr>
        <w:t xml:space="preserve"> effective control of records and information in paper and electronic format</w:t>
      </w:r>
      <w:r w:rsidR="005B7C5A">
        <w:rPr>
          <w:rFonts w:eastAsia="Times New Roman" w:cs="Arial"/>
          <w:sz w:val="20"/>
          <w:szCs w:val="20"/>
          <w:lang w:val="en"/>
        </w:rPr>
        <w:t>; M</w:t>
      </w:r>
      <w:r w:rsidRPr="006D68F4">
        <w:rPr>
          <w:rFonts w:eastAsia="Times New Roman" w:cs="Arial"/>
          <w:sz w:val="20"/>
          <w:szCs w:val="20"/>
          <w:lang w:val="en"/>
        </w:rPr>
        <w:t>anage the Deed Room Service for the storage and retrieval for documentation relating to land and corporate assets.</w:t>
      </w:r>
    </w:p>
    <w:p w:rsidR="00922694" w:rsidRDefault="00922694" w:rsidP="005B7C5A">
      <w:pPr>
        <w:spacing w:after="0" w:line="240" w:lineRule="auto"/>
        <w:rPr>
          <w:rFonts w:eastAsia="Times New Roman" w:cs="Arial"/>
          <w:sz w:val="20"/>
          <w:szCs w:val="20"/>
          <w:lang w:val="en"/>
        </w:rPr>
      </w:pPr>
    </w:p>
    <w:p w:rsidR="006D68F4" w:rsidRDefault="006D68F4" w:rsidP="005B7C5A">
      <w:pPr>
        <w:spacing w:after="0" w:line="240" w:lineRule="auto"/>
        <w:rPr>
          <w:rFonts w:cs="Arial"/>
          <w:sz w:val="20"/>
          <w:szCs w:val="20"/>
        </w:rPr>
      </w:pPr>
      <w:r w:rsidRPr="006D68F4">
        <w:rPr>
          <w:rFonts w:cs="Arial"/>
          <w:b/>
          <w:sz w:val="20"/>
          <w:szCs w:val="20"/>
        </w:rPr>
        <w:t>Document Management Service (DMS</w:t>
      </w:r>
      <w:proofErr w:type="gramStart"/>
      <w:r w:rsidRPr="006D68F4">
        <w:rPr>
          <w:rFonts w:cs="Arial"/>
          <w:b/>
          <w:sz w:val="20"/>
          <w:szCs w:val="20"/>
        </w:rPr>
        <w:t>)</w:t>
      </w:r>
      <w:r w:rsidR="005B7C5A">
        <w:rPr>
          <w:rFonts w:cs="Arial"/>
          <w:b/>
          <w:sz w:val="20"/>
          <w:szCs w:val="20"/>
        </w:rPr>
        <w:t>-</w:t>
      </w:r>
      <w:proofErr w:type="gramEnd"/>
      <w:r w:rsidR="005B7C5A">
        <w:rPr>
          <w:rFonts w:cs="Arial"/>
          <w:b/>
          <w:sz w:val="20"/>
          <w:szCs w:val="20"/>
        </w:rPr>
        <w:t xml:space="preserve"> </w:t>
      </w:r>
      <w:r w:rsidRPr="006D68F4">
        <w:rPr>
          <w:rFonts w:cs="Arial"/>
          <w:iCs/>
          <w:sz w:val="20"/>
          <w:szCs w:val="20"/>
        </w:rPr>
        <w:t>Manage the document management service for adult and children Social Care Services and direct delivery and adoption services within children's services</w:t>
      </w:r>
      <w:r w:rsidR="005B7C5A">
        <w:rPr>
          <w:rFonts w:cs="Arial"/>
          <w:iCs/>
          <w:sz w:val="20"/>
          <w:szCs w:val="20"/>
        </w:rPr>
        <w:t xml:space="preserve">; </w:t>
      </w:r>
      <w:r w:rsidRPr="006D68F4">
        <w:rPr>
          <w:rFonts w:cs="Arial"/>
          <w:iCs/>
          <w:sz w:val="20"/>
          <w:szCs w:val="20"/>
        </w:rPr>
        <w:t xml:space="preserve">Ensure </w:t>
      </w:r>
      <w:r w:rsidRPr="006D68F4">
        <w:rPr>
          <w:rFonts w:cs="Arial"/>
          <w:sz w:val="20"/>
          <w:szCs w:val="20"/>
        </w:rPr>
        <w:t>all social care service user information is handled and stored in an electronic format which is legally admissible</w:t>
      </w:r>
      <w:r w:rsidR="005B7C5A">
        <w:rPr>
          <w:rFonts w:cs="Arial"/>
          <w:sz w:val="20"/>
          <w:szCs w:val="20"/>
        </w:rPr>
        <w:t xml:space="preserve">; </w:t>
      </w:r>
      <w:r w:rsidRPr="006D68F4">
        <w:rPr>
          <w:rFonts w:cs="Arial"/>
          <w:sz w:val="20"/>
          <w:szCs w:val="20"/>
        </w:rPr>
        <w:t xml:space="preserve">Store and </w:t>
      </w:r>
      <w:r w:rsidRPr="006D68F4">
        <w:rPr>
          <w:rFonts w:cs="Arial"/>
          <w:sz w:val="20"/>
          <w:szCs w:val="20"/>
        </w:rPr>
        <w:lastRenderedPageBreak/>
        <w:t>audit all "treasure chest" documents</w:t>
      </w:r>
      <w:r w:rsidR="005B7C5A">
        <w:rPr>
          <w:rFonts w:cs="Arial"/>
          <w:sz w:val="20"/>
          <w:szCs w:val="20"/>
        </w:rPr>
        <w:t xml:space="preserve">; </w:t>
      </w:r>
      <w:r w:rsidRPr="006D68F4">
        <w:rPr>
          <w:rFonts w:cs="Arial"/>
          <w:sz w:val="20"/>
          <w:szCs w:val="20"/>
        </w:rPr>
        <w:t xml:space="preserve">Provision of electronic document management as part of business transformation. </w:t>
      </w:r>
    </w:p>
    <w:p w:rsidR="00922694" w:rsidRPr="006D68F4" w:rsidRDefault="00922694" w:rsidP="005B7C5A">
      <w:pPr>
        <w:spacing w:after="0" w:line="240" w:lineRule="auto"/>
        <w:rPr>
          <w:rFonts w:cs="Arial"/>
          <w:sz w:val="20"/>
          <w:szCs w:val="20"/>
        </w:rPr>
      </w:pPr>
    </w:p>
    <w:p w:rsidR="006D68F4" w:rsidRDefault="006D68F4" w:rsidP="005B7C5A">
      <w:pPr>
        <w:spacing w:after="0" w:line="240" w:lineRule="auto"/>
        <w:rPr>
          <w:rFonts w:eastAsia="Times New Roman" w:cs="Arial"/>
          <w:color w:val="000000" w:themeColor="text1"/>
          <w:sz w:val="20"/>
          <w:szCs w:val="20"/>
        </w:rPr>
      </w:pPr>
      <w:r w:rsidRPr="006D68F4">
        <w:rPr>
          <w:rFonts w:eastAsia="Times New Roman" w:cs="Arial"/>
          <w:b/>
          <w:color w:val="000000" w:themeColor="text1"/>
          <w:sz w:val="20"/>
          <w:szCs w:val="20"/>
          <w:lang w:eastAsia="en-GB"/>
        </w:rPr>
        <w:t>Mail and Print</w:t>
      </w:r>
      <w:r w:rsidR="005B7C5A">
        <w:rPr>
          <w:rFonts w:eastAsia="Times New Roman" w:cs="Arial"/>
          <w:b/>
          <w:color w:val="000000" w:themeColor="text1"/>
          <w:sz w:val="20"/>
          <w:szCs w:val="20"/>
          <w:lang w:eastAsia="en-GB"/>
        </w:rPr>
        <w:t xml:space="preserve"> - </w:t>
      </w:r>
      <w:r w:rsidRPr="006D68F4">
        <w:rPr>
          <w:rFonts w:eastAsia="Times New Roman" w:cs="Arial"/>
          <w:color w:val="000000" w:themeColor="text1"/>
          <w:sz w:val="20"/>
          <w:szCs w:val="20"/>
        </w:rPr>
        <w:t>Provision of high quality mail and print services that ensure appropriate technology is used to modernise and ratio</w:t>
      </w:r>
      <w:r w:rsidR="005B7C5A">
        <w:rPr>
          <w:rFonts w:eastAsia="Times New Roman" w:cs="Arial"/>
          <w:color w:val="000000" w:themeColor="text1"/>
          <w:sz w:val="20"/>
          <w:szCs w:val="20"/>
        </w:rPr>
        <w:t xml:space="preserve">nalise processes for efficiency; </w:t>
      </w:r>
      <w:r w:rsidRPr="006D68F4">
        <w:rPr>
          <w:rFonts w:eastAsia="Times New Roman" w:cs="Arial"/>
          <w:color w:val="000000" w:themeColor="text1"/>
          <w:sz w:val="20"/>
          <w:szCs w:val="20"/>
        </w:rPr>
        <w:t>Provide advice and technological expertise to customers</w:t>
      </w:r>
      <w:r w:rsidR="005B7C5A">
        <w:rPr>
          <w:rFonts w:eastAsia="Times New Roman" w:cs="Arial"/>
          <w:color w:val="000000" w:themeColor="text1"/>
          <w:sz w:val="20"/>
          <w:szCs w:val="20"/>
        </w:rPr>
        <w:t xml:space="preserve">; </w:t>
      </w:r>
      <w:r w:rsidR="0050645A" w:rsidRPr="006D68F4">
        <w:rPr>
          <w:rFonts w:eastAsia="Times New Roman" w:cs="Arial"/>
          <w:color w:val="000000" w:themeColor="text1"/>
          <w:sz w:val="20"/>
          <w:szCs w:val="20"/>
        </w:rPr>
        <w:t>provide</w:t>
      </w:r>
      <w:r w:rsidRPr="006D68F4">
        <w:rPr>
          <w:rFonts w:eastAsia="Times New Roman" w:cs="Arial"/>
          <w:color w:val="000000" w:themeColor="text1"/>
          <w:sz w:val="20"/>
          <w:szCs w:val="20"/>
        </w:rPr>
        <w:t xml:space="preserve"> a key link to core business systems and projects.</w:t>
      </w:r>
    </w:p>
    <w:p w:rsidR="00922694" w:rsidRPr="006D68F4" w:rsidRDefault="00922694" w:rsidP="005B7C5A">
      <w:pPr>
        <w:spacing w:after="0" w:line="240" w:lineRule="auto"/>
        <w:rPr>
          <w:rFonts w:eastAsia="Times New Roman" w:cs="Arial"/>
          <w:color w:val="000000" w:themeColor="text1"/>
          <w:sz w:val="20"/>
          <w:szCs w:val="20"/>
        </w:rPr>
      </w:pPr>
    </w:p>
    <w:p w:rsidR="005B7C5A" w:rsidRDefault="006D68F4" w:rsidP="005B7C5A">
      <w:pPr>
        <w:spacing w:after="0" w:line="240" w:lineRule="auto"/>
        <w:rPr>
          <w:rFonts w:cs="Arial"/>
          <w:sz w:val="20"/>
          <w:szCs w:val="20"/>
        </w:rPr>
      </w:pPr>
      <w:r w:rsidRPr="006D68F4">
        <w:rPr>
          <w:rFonts w:cs="Arial"/>
          <w:b/>
          <w:sz w:val="20"/>
          <w:szCs w:val="20"/>
        </w:rPr>
        <w:t>Core Business Systems</w:t>
      </w:r>
      <w:r w:rsidR="005B7C5A">
        <w:rPr>
          <w:rFonts w:cs="Arial"/>
          <w:b/>
          <w:sz w:val="20"/>
          <w:szCs w:val="20"/>
        </w:rPr>
        <w:t xml:space="preserve"> - </w:t>
      </w:r>
      <w:r w:rsidRPr="006D68F4">
        <w:rPr>
          <w:rFonts w:cs="Arial"/>
          <w:sz w:val="20"/>
          <w:szCs w:val="20"/>
        </w:rPr>
        <w:t>Identify and prioritise core systems requiring development or replacement</w:t>
      </w:r>
      <w:r w:rsidR="005B7C5A">
        <w:rPr>
          <w:rFonts w:cs="Arial"/>
          <w:sz w:val="20"/>
          <w:szCs w:val="20"/>
        </w:rPr>
        <w:t xml:space="preserve">; </w:t>
      </w:r>
      <w:r w:rsidRPr="006D68F4">
        <w:rPr>
          <w:rFonts w:cs="Arial"/>
          <w:sz w:val="20"/>
          <w:szCs w:val="20"/>
        </w:rPr>
        <w:t>The implementation and development of core operational systems</w:t>
      </w:r>
      <w:r w:rsidR="005B7C5A">
        <w:rPr>
          <w:rFonts w:cs="Arial"/>
          <w:sz w:val="20"/>
          <w:szCs w:val="20"/>
        </w:rPr>
        <w:t xml:space="preserve">; </w:t>
      </w:r>
      <w:r w:rsidRPr="006D68F4">
        <w:rPr>
          <w:rFonts w:cs="Arial"/>
          <w:sz w:val="20"/>
          <w:szCs w:val="20"/>
        </w:rPr>
        <w:t>Supporting live core operational systems to ensure organisational needs and statutory requirements continue to be met</w:t>
      </w:r>
      <w:r w:rsidR="005B7C5A">
        <w:rPr>
          <w:rFonts w:cs="Arial"/>
          <w:sz w:val="20"/>
          <w:szCs w:val="20"/>
        </w:rPr>
        <w:t xml:space="preserve">; </w:t>
      </w:r>
      <w:r w:rsidRPr="006D68F4">
        <w:rPr>
          <w:rFonts w:cs="Arial"/>
          <w:sz w:val="20"/>
          <w:szCs w:val="20"/>
        </w:rPr>
        <w:t>Delivery of effective business transformation through continuous review of systems</w:t>
      </w:r>
      <w:r w:rsidR="005B7C5A">
        <w:rPr>
          <w:rFonts w:cs="Arial"/>
          <w:sz w:val="20"/>
          <w:szCs w:val="20"/>
        </w:rPr>
        <w:t xml:space="preserve">; </w:t>
      </w:r>
      <w:r w:rsidRPr="006D68F4">
        <w:rPr>
          <w:rFonts w:cs="Arial"/>
          <w:sz w:val="20"/>
          <w:szCs w:val="20"/>
        </w:rPr>
        <w:t xml:space="preserve">On-going support to Liquid Logic (Adults and Children's) and </w:t>
      </w:r>
      <w:proofErr w:type="spellStart"/>
      <w:r w:rsidRPr="006D68F4">
        <w:rPr>
          <w:rFonts w:cs="Arial"/>
          <w:sz w:val="20"/>
          <w:szCs w:val="20"/>
        </w:rPr>
        <w:t>Controcc</w:t>
      </w:r>
      <w:proofErr w:type="spellEnd"/>
      <w:r w:rsidRPr="006D68F4">
        <w:rPr>
          <w:rFonts w:cs="Arial"/>
          <w:sz w:val="20"/>
          <w:szCs w:val="20"/>
        </w:rPr>
        <w:t xml:space="preserve"> systems</w:t>
      </w:r>
      <w:r w:rsidR="005B7C5A">
        <w:rPr>
          <w:rFonts w:cs="Arial"/>
          <w:sz w:val="20"/>
          <w:szCs w:val="20"/>
        </w:rPr>
        <w:t xml:space="preserve">; </w:t>
      </w:r>
      <w:r w:rsidRPr="006D68F4">
        <w:rPr>
          <w:rFonts w:cs="Arial"/>
          <w:sz w:val="20"/>
          <w:szCs w:val="20"/>
        </w:rPr>
        <w:t xml:space="preserve">Implementation of the Core Systems Transformation Programme. </w:t>
      </w:r>
    </w:p>
    <w:p w:rsidR="00922694" w:rsidRDefault="00922694" w:rsidP="005B7C5A">
      <w:pPr>
        <w:spacing w:after="0" w:line="240" w:lineRule="auto"/>
        <w:rPr>
          <w:rFonts w:cs="Arial"/>
          <w:sz w:val="20"/>
          <w:szCs w:val="20"/>
        </w:rPr>
      </w:pPr>
    </w:p>
    <w:p w:rsidR="006D68F4" w:rsidRDefault="006D68F4" w:rsidP="005B7C5A">
      <w:pPr>
        <w:spacing w:after="0" w:line="240" w:lineRule="auto"/>
        <w:rPr>
          <w:rFonts w:cs="Arial"/>
          <w:sz w:val="20"/>
          <w:szCs w:val="20"/>
        </w:rPr>
      </w:pPr>
      <w:r w:rsidRPr="006D68F4">
        <w:rPr>
          <w:rFonts w:cs="Arial"/>
          <w:b/>
          <w:sz w:val="20"/>
          <w:szCs w:val="20"/>
        </w:rPr>
        <w:t>Business Change / Transformation</w:t>
      </w:r>
      <w:r w:rsidR="005B7C5A">
        <w:rPr>
          <w:rFonts w:cs="Arial"/>
          <w:b/>
          <w:sz w:val="20"/>
          <w:szCs w:val="20"/>
        </w:rPr>
        <w:t xml:space="preserve"> - </w:t>
      </w:r>
      <w:r w:rsidRPr="006D68F4">
        <w:rPr>
          <w:rFonts w:cs="Arial"/>
          <w:sz w:val="20"/>
          <w:szCs w:val="20"/>
        </w:rPr>
        <w:t xml:space="preserve">Support, facilitate and enable change to drive and promote transformation in service delivery in all aspects of organisational change, including workforce development, business analysis, business process improvement, cultural change and efficiency. </w:t>
      </w:r>
    </w:p>
    <w:p w:rsidR="00922694" w:rsidRPr="006D68F4" w:rsidRDefault="00922694" w:rsidP="005B7C5A">
      <w:pPr>
        <w:spacing w:after="0" w:line="240" w:lineRule="auto"/>
        <w:rPr>
          <w:rFonts w:cs="Arial"/>
          <w:sz w:val="20"/>
          <w:szCs w:val="20"/>
        </w:rPr>
      </w:pPr>
    </w:p>
    <w:p w:rsidR="006D68F4" w:rsidRDefault="006D68F4" w:rsidP="005B7C5A">
      <w:pPr>
        <w:spacing w:after="0" w:line="240" w:lineRule="auto"/>
        <w:rPr>
          <w:rFonts w:cs="Arial"/>
          <w:sz w:val="20"/>
          <w:szCs w:val="20"/>
        </w:rPr>
      </w:pPr>
      <w:r w:rsidRPr="006D68F4">
        <w:rPr>
          <w:rFonts w:cs="Arial"/>
          <w:b/>
          <w:sz w:val="20"/>
          <w:szCs w:val="20"/>
        </w:rPr>
        <w:t>Client Services</w:t>
      </w:r>
      <w:r w:rsidR="005B7C5A">
        <w:rPr>
          <w:rFonts w:cs="Arial"/>
          <w:b/>
          <w:sz w:val="20"/>
          <w:szCs w:val="20"/>
        </w:rPr>
        <w:t xml:space="preserve"> -</w:t>
      </w:r>
      <w:r w:rsidRPr="006D68F4">
        <w:rPr>
          <w:rFonts w:cs="Arial"/>
          <w:sz w:val="20"/>
          <w:szCs w:val="20"/>
        </w:rPr>
        <w:t>Provide management and oversight of services provided through the partnership with BT Lancashire Services Limited</w:t>
      </w:r>
      <w:r w:rsidR="005B7C5A">
        <w:rPr>
          <w:rFonts w:cs="Arial"/>
          <w:sz w:val="20"/>
          <w:szCs w:val="20"/>
        </w:rPr>
        <w:t xml:space="preserve">; </w:t>
      </w:r>
      <w:r w:rsidR="0050645A" w:rsidRPr="006D68F4">
        <w:rPr>
          <w:rFonts w:cs="Arial"/>
          <w:sz w:val="20"/>
          <w:szCs w:val="20"/>
        </w:rPr>
        <w:t>promote</w:t>
      </w:r>
      <w:r w:rsidRPr="006D68F4">
        <w:rPr>
          <w:rFonts w:cs="Arial"/>
          <w:sz w:val="20"/>
          <w:szCs w:val="20"/>
        </w:rPr>
        <w:t xml:space="preserve"> effective working to deliver integrated services that optimise the use of resources, achieve efficiency and continuous improvement.</w:t>
      </w:r>
    </w:p>
    <w:sectPr w:rsidR="006D68F4" w:rsidSect="005B7C5A">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110A"/>
    <w:multiLevelType w:val="hybridMultilevel"/>
    <w:tmpl w:val="E098A7E8"/>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2BC"/>
    <w:multiLevelType w:val="hybridMultilevel"/>
    <w:tmpl w:val="9398C4E6"/>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534B"/>
    <w:multiLevelType w:val="hybridMultilevel"/>
    <w:tmpl w:val="32E6E7A4"/>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7D84"/>
    <w:multiLevelType w:val="hybridMultilevel"/>
    <w:tmpl w:val="0A800EEC"/>
    <w:lvl w:ilvl="0" w:tplc="FEDE29AA">
      <w:start w:val="1"/>
      <w:numFmt w:val="bullet"/>
      <w:lvlText w:val=""/>
      <w:lvlJc w:val="left"/>
      <w:pPr>
        <w:ind w:left="780" w:hanging="42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84670"/>
    <w:multiLevelType w:val="hybridMultilevel"/>
    <w:tmpl w:val="9C863304"/>
    <w:lvl w:ilvl="0" w:tplc="A428242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906EEA"/>
    <w:multiLevelType w:val="hybridMultilevel"/>
    <w:tmpl w:val="96F47BAC"/>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10A46"/>
    <w:multiLevelType w:val="hybridMultilevel"/>
    <w:tmpl w:val="9B0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A5559"/>
    <w:multiLevelType w:val="hybridMultilevel"/>
    <w:tmpl w:val="134489A2"/>
    <w:lvl w:ilvl="0" w:tplc="FEDE29A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2"/>
  </w:num>
  <w:num w:numId="6">
    <w:abstractNumId w:val="6"/>
  </w:num>
  <w:num w:numId="7">
    <w:abstractNumId w:val="3"/>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51105"/>
    <w:rsid w:val="00070FE3"/>
    <w:rsid w:val="00084304"/>
    <w:rsid w:val="000A598A"/>
    <w:rsid w:val="000D48EA"/>
    <w:rsid w:val="000E21C6"/>
    <w:rsid w:val="00113A80"/>
    <w:rsid w:val="00144CA6"/>
    <w:rsid w:val="00145014"/>
    <w:rsid w:val="00153B80"/>
    <w:rsid w:val="001774BD"/>
    <w:rsid w:val="001B36BE"/>
    <w:rsid w:val="001B6643"/>
    <w:rsid w:val="001C156F"/>
    <w:rsid w:val="001C1749"/>
    <w:rsid w:val="001D40A0"/>
    <w:rsid w:val="001E172B"/>
    <w:rsid w:val="00241D35"/>
    <w:rsid w:val="00280EFB"/>
    <w:rsid w:val="002908FB"/>
    <w:rsid w:val="002A3E9F"/>
    <w:rsid w:val="002B630A"/>
    <w:rsid w:val="003869AC"/>
    <w:rsid w:val="00411DA3"/>
    <w:rsid w:val="00443967"/>
    <w:rsid w:val="00452C66"/>
    <w:rsid w:val="00457763"/>
    <w:rsid w:val="00464F42"/>
    <w:rsid w:val="00474821"/>
    <w:rsid w:val="00487F0F"/>
    <w:rsid w:val="004D588F"/>
    <w:rsid w:val="004E121B"/>
    <w:rsid w:val="0050645A"/>
    <w:rsid w:val="00564F93"/>
    <w:rsid w:val="005957E5"/>
    <w:rsid w:val="005B386D"/>
    <w:rsid w:val="005B7C5A"/>
    <w:rsid w:val="005C02BB"/>
    <w:rsid w:val="005C3A55"/>
    <w:rsid w:val="005D5236"/>
    <w:rsid w:val="005E470C"/>
    <w:rsid w:val="00604C13"/>
    <w:rsid w:val="006223E3"/>
    <w:rsid w:val="006428CE"/>
    <w:rsid w:val="0064633C"/>
    <w:rsid w:val="0065624A"/>
    <w:rsid w:val="0066742C"/>
    <w:rsid w:val="00692710"/>
    <w:rsid w:val="0069592C"/>
    <w:rsid w:val="006B2CE0"/>
    <w:rsid w:val="006D68F4"/>
    <w:rsid w:val="006F04C5"/>
    <w:rsid w:val="006F35E8"/>
    <w:rsid w:val="006F58CE"/>
    <w:rsid w:val="00711875"/>
    <w:rsid w:val="00716A4F"/>
    <w:rsid w:val="007467AF"/>
    <w:rsid w:val="007D00B0"/>
    <w:rsid w:val="007D2F78"/>
    <w:rsid w:val="007D6CED"/>
    <w:rsid w:val="0080050D"/>
    <w:rsid w:val="008027E6"/>
    <w:rsid w:val="008039DA"/>
    <w:rsid w:val="00806548"/>
    <w:rsid w:val="008252EB"/>
    <w:rsid w:val="00833860"/>
    <w:rsid w:val="00846A4F"/>
    <w:rsid w:val="00874539"/>
    <w:rsid w:val="00885975"/>
    <w:rsid w:val="008D7072"/>
    <w:rsid w:val="008E30D2"/>
    <w:rsid w:val="008E4824"/>
    <w:rsid w:val="00922694"/>
    <w:rsid w:val="009304C0"/>
    <w:rsid w:val="00994EDB"/>
    <w:rsid w:val="009A172D"/>
    <w:rsid w:val="009C4647"/>
    <w:rsid w:val="009E0E1B"/>
    <w:rsid w:val="009E2D95"/>
    <w:rsid w:val="00A15EA7"/>
    <w:rsid w:val="00A304DC"/>
    <w:rsid w:val="00A33171"/>
    <w:rsid w:val="00A52E57"/>
    <w:rsid w:val="00A61F59"/>
    <w:rsid w:val="00A821C3"/>
    <w:rsid w:val="00A91829"/>
    <w:rsid w:val="00AA78B2"/>
    <w:rsid w:val="00AB22B1"/>
    <w:rsid w:val="00AC204F"/>
    <w:rsid w:val="00AD7DE1"/>
    <w:rsid w:val="00AE14AD"/>
    <w:rsid w:val="00AE7339"/>
    <w:rsid w:val="00B22EFB"/>
    <w:rsid w:val="00B25405"/>
    <w:rsid w:val="00B26FCE"/>
    <w:rsid w:val="00B325D0"/>
    <w:rsid w:val="00B819B1"/>
    <w:rsid w:val="00BE1BC0"/>
    <w:rsid w:val="00BE44C4"/>
    <w:rsid w:val="00C03FB9"/>
    <w:rsid w:val="00C116C8"/>
    <w:rsid w:val="00C3384B"/>
    <w:rsid w:val="00C43D6E"/>
    <w:rsid w:val="00C50F5C"/>
    <w:rsid w:val="00C76C67"/>
    <w:rsid w:val="00C844FA"/>
    <w:rsid w:val="00C93BD0"/>
    <w:rsid w:val="00CA10C4"/>
    <w:rsid w:val="00CA2B52"/>
    <w:rsid w:val="00CB00F3"/>
    <w:rsid w:val="00CB7956"/>
    <w:rsid w:val="00CF738F"/>
    <w:rsid w:val="00D22955"/>
    <w:rsid w:val="00D64925"/>
    <w:rsid w:val="00D91624"/>
    <w:rsid w:val="00D97F3A"/>
    <w:rsid w:val="00E11356"/>
    <w:rsid w:val="00E17B81"/>
    <w:rsid w:val="00E21F4E"/>
    <w:rsid w:val="00E32D62"/>
    <w:rsid w:val="00E56AA9"/>
    <w:rsid w:val="00E7723B"/>
    <w:rsid w:val="00EA1D7C"/>
    <w:rsid w:val="00F15B60"/>
    <w:rsid w:val="00F26FCF"/>
    <w:rsid w:val="00F57547"/>
    <w:rsid w:val="00F62536"/>
    <w:rsid w:val="00F679F6"/>
    <w:rsid w:val="00F67BFD"/>
    <w:rsid w:val="00F9314E"/>
    <w:rsid w:val="00FA6D71"/>
    <w:rsid w:val="00FA744B"/>
    <w:rsid w:val="00FB26CF"/>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6D68F4"/>
  </w:style>
  <w:style w:type="character" w:styleId="Hyperlink">
    <w:name w:val="Hyperlink"/>
    <w:basedOn w:val="DefaultParagraphFont"/>
    <w:uiPriority w:val="99"/>
    <w:semiHidden/>
    <w:unhideWhenUsed/>
    <w:rsid w:val="008859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9838-673F-4D1F-BDBB-D50C9424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15</cp:revision>
  <cp:lastPrinted>2015-11-04T14:21:00Z</cp:lastPrinted>
  <dcterms:created xsi:type="dcterms:W3CDTF">2015-11-04T11:06:00Z</dcterms:created>
  <dcterms:modified xsi:type="dcterms:W3CDTF">2015-11-13T18:02:00Z</dcterms:modified>
</cp:coreProperties>
</file>